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eastAsia="黑体"/>
          <w:b/>
          <w:spacing w:val="80"/>
          <w:sz w:val="52"/>
        </w:rPr>
      </w:pPr>
      <w:r>
        <w:rPr>
          <w:rFonts w:hint="eastAsia" w:ascii="黑体" w:eastAsia="黑体"/>
          <w:b/>
          <w:spacing w:val="80"/>
          <w:sz w:val="52"/>
        </w:rPr>
        <w:t>贺林院士新医学临床转化工作站科研基金管理办法</w:t>
      </w:r>
    </w:p>
    <w:p>
      <w:pPr>
        <w:adjustRightInd w:val="0"/>
        <w:snapToGrid w:val="0"/>
        <w:jc w:val="center"/>
        <w:rPr>
          <w:rFonts w:ascii="黑体" w:eastAsia="黑体"/>
          <w:b/>
          <w:spacing w:val="80"/>
          <w:sz w:val="36"/>
          <w:szCs w:val="36"/>
        </w:rPr>
      </w:pPr>
    </w:p>
    <w:p>
      <w:pPr>
        <w:adjustRightInd w:val="0"/>
        <w:snapToGrid w:val="0"/>
        <w:spacing w:line="360" w:lineRule="auto"/>
        <w:jc w:val="center"/>
        <w:rPr>
          <w:rFonts w:ascii="黑体" w:eastAsia="黑体"/>
          <w:b/>
          <w:spacing w:val="80"/>
          <w:sz w:val="18"/>
          <w:szCs w:val="18"/>
        </w:rPr>
      </w:pPr>
    </w:p>
    <w:p>
      <w:pPr>
        <w:spacing w:line="360" w:lineRule="auto"/>
        <w:jc w:val="center"/>
        <w:rPr>
          <w:rFonts w:ascii="黑体" w:eastAsia="黑体"/>
          <w:b/>
          <w:sz w:val="36"/>
        </w:rPr>
      </w:pPr>
      <w:r>
        <w:rPr>
          <w:rFonts w:hint="eastAsia" w:ascii="黑体" w:eastAsia="黑体"/>
          <w:b/>
          <w:sz w:val="36"/>
        </w:rPr>
        <w:t xml:space="preserve">第一章  </w:t>
      </w:r>
      <w:r>
        <w:rPr>
          <w:rFonts w:hint="eastAsia" w:ascii="黑体" w:eastAsia="黑体"/>
          <w:sz w:val="36"/>
        </w:rPr>
        <w:t>总  则</w:t>
      </w:r>
    </w:p>
    <w:p>
      <w:pPr>
        <w:tabs>
          <w:tab w:val="left" w:pos="7279"/>
        </w:tabs>
        <w:spacing w:line="360" w:lineRule="auto"/>
        <w:rPr>
          <w:rFonts w:ascii="黑体" w:eastAsia="黑体"/>
        </w:rPr>
      </w:pPr>
      <w:r>
        <w:rPr>
          <w:rFonts w:hint="eastAsia" w:ascii="黑体" w:eastAsia="黑体"/>
        </w:rPr>
        <w:t>第一条 为了鼓励科研工作，加强</w:t>
      </w:r>
      <w:r>
        <w:rPr>
          <w:rFonts w:hint="eastAsia" w:ascii="黑体" w:eastAsia="黑体"/>
          <w:lang w:eastAsia="zh-CN"/>
        </w:rPr>
        <w:t>我校</w:t>
      </w:r>
      <w:r>
        <w:rPr>
          <w:rFonts w:hint="eastAsia" w:ascii="黑体" w:eastAsia="黑体"/>
        </w:rPr>
        <w:t>科研经费管理，充分发挥贺林院士新医学临床转化工作站（以下简称：院士工作站）的科研学术优势，鼓励</w:t>
      </w:r>
      <w:r>
        <w:rPr>
          <w:rFonts w:hint="eastAsia" w:ascii="黑体" w:eastAsia="黑体"/>
          <w:lang w:eastAsia="zh-CN"/>
        </w:rPr>
        <w:t>我校</w:t>
      </w:r>
      <w:r>
        <w:rPr>
          <w:rFonts w:hint="eastAsia" w:ascii="黑体" w:eastAsia="黑体"/>
        </w:rPr>
        <w:t>科研人员积极承担科研项目，加强贺林院士新医学临床转化工作站科研基金(以下简称：院士工作站基金)的管理，保证研究工作的顺利开展和经费的有效使用，根据上级部门有关规定，结合</w:t>
      </w:r>
      <w:r>
        <w:rPr>
          <w:rFonts w:hint="eastAsia" w:ascii="黑体" w:eastAsia="黑体"/>
          <w:lang w:eastAsia="zh-CN"/>
        </w:rPr>
        <w:t>我校</w:t>
      </w:r>
      <w:r>
        <w:rPr>
          <w:rFonts w:hint="eastAsia" w:ascii="黑体" w:eastAsia="黑体"/>
        </w:rPr>
        <w:t xml:space="preserve">实际情况，特制定本办法。 </w:t>
      </w:r>
    </w:p>
    <w:p>
      <w:pPr>
        <w:tabs>
          <w:tab w:val="left" w:pos="7279"/>
        </w:tabs>
        <w:spacing w:line="360" w:lineRule="auto"/>
        <w:rPr>
          <w:rFonts w:ascii="黑体" w:eastAsia="黑体"/>
        </w:rPr>
      </w:pPr>
    </w:p>
    <w:p>
      <w:pPr>
        <w:tabs>
          <w:tab w:val="left" w:pos="7279"/>
        </w:tabs>
        <w:spacing w:line="360" w:lineRule="auto"/>
        <w:rPr>
          <w:rFonts w:ascii="黑体" w:eastAsia="黑体"/>
        </w:rPr>
      </w:pPr>
      <w:r>
        <w:rPr>
          <w:rFonts w:hint="eastAsia" w:ascii="黑体" w:eastAsia="黑体"/>
        </w:rPr>
        <w:t>第二条 院士工作站基金用于本院院士工作站（院士工作站管理机构现为上海浦东解码生命科学研究院）科研合作项目，相关经费纳入本院科研部门预算。院士工作站基金的管理，包括合作研究项目的申请、评审、实施、检查、结题以及成果应用等环节，以及贯穿于这些环节中经费使用的管理。</w:t>
      </w:r>
    </w:p>
    <w:p>
      <w:pPr>
        <w:tabs>
          <w:tab w:val="left" w:pos="-2259"/>
        </w:tabs>
        <w:spacing w:line="360" w:lineRule="auto"/>
        <w:rPr>
          <w:rFonts w:ascii="黑体" w:eastAsia="黑体"/>
        </w:rPr>
      </w:pPr>
    </w:p>
    <w:p>
      <w:pPr>
        <w:tabs>
          <w:tab w:val="left" w:pos="-2259"/>
        </w:tabs>
        <w:spacing w:line="360" w:lineRule="auto"/>
        <w:rPr>
          <w:rFonts w:ascii="黑体" w:eastAsia="黑体"/>
        </w:rPr>
      </w:pPr>
      <w:r>
        <w:rPr>
          <w:rFonts w:hint="eastAsia" w:ascii="黑体" w:eastAsia="黑体"/>
        </w:rPr>
        <w:t>第三条 院士工作站基金的主要来源为</w:t>
      </w:r>
      <w:r>
        <w:rPr>
          <w:rFonts w:hint="eastAsia" w:ascii="黑体" w:eastAsia="黑体"/>
          <w:lang w:eastAsia="zh-CN"/>
        </w:rPr>
        <w:t>我校</w:t>
      </w:r>
      <w:r>
        <w:rPr>
          <w:rFonts w:hint="eastAsia" w:ascii="黑体" w:eastAsia="黑体"/>
        </w:rPr>
        <w:t>设立的专项科研经费、院士工作站协助合作方申请的科研基金、成果转化收益及其他途径。院士工作站基金不论资金来源渠道，均须全部纳入院士工作站基金专门账户，由设站</w:t>
      </w:r>
      <w:r>
        <w:rPr>
          <w:rFonts w:hint="eastAsia" w:ascii="黑体" w:eastAsia="黑体"/>
          <w:lang w:eastAsia="zh-CN"/>
        </w:rPr>
        <w:t>学校</w:t>
      </w:r>
      <w:r>
        <w:rPr>
          <w:rFonts w:hint="eastAsia" w:ascii="黑体" w:eastAsia="黑体"/>
        </w:rPr>
        <w:t>财务科统一管理、集中核算，实行专款专用。任何单位和个人不准擅自将上述经费汇入他处。</w:t>
      </w:r>
    </w:p>
    <w:p>
      <w:pPr>
        <w:tabs>
          <w:tab w:val="left" w:pos="-2259"/>
        </w:tabs>
        <w:spacing w:line="360" w:lineRule="auto"/>
        <w:rPr>
          <w:rFonts w:ascii="黑体" w:eastAsia="黑体"/>
        </w:rPr>
      </w:pPr>
    </w:p>
    <w:p>
      <w:pPr>
        <w:tabs>
          <w:tab w:val="left" w:pos="-2259"/>
        </w:tabs>
        <w:spacing w:line="360" w:lineRule="auto"/>
        <w:rPr>
          <w:rFonts w:ascii="黑体" w:eastAsia="黑体"/>
        </w:rPr>
      </w:pPr>
      <w:r>
        <w:rPr>
          <w:rFonts w:hint="eastAsia" w:ascii="黑体" w:eastAsia="黑体"/>
        </w:rPr>
        <w:t>第四条 相关部门和人员职责</w:t>
      </w:r>
    </w:p>
    <w:p>
      <w:pPr>
        <w:tabs>
          <w:tab w:val="left" w:pos="-2259"/>
        </w:tabs>
        <w:spacing w:line="360" w:lineRule="auto"/>
        <w:ind w:left="-280" w:leftChars="-100"/>
        <w:rPr>
          <w:rFonts w:ascii="黑体" w:eastAsia="黑体"/>
        </w:rPr>
      </w:pPr>
      <w:r>
        <w:rPr>
          <w:rFonts w:hint="eastAsia" w:ascii="黑体" w:eastAsia="黑体"/>
        </w:rPr>
        <w:t xml:space="preserve">   </w:t>
      </w:r>
      <w:r>
        <w:rPr>
          <w:rFonts w:hint="eastAsia" w:ascii="黑体" w:eastAsia="黑体"/>
          <w:lang w:val="en-US" w:eastAsia="zh-CN"/>
        </w:rPr>
        <w:t xml:space="preserve">  </w:t>
      </w:r>
      <w:bookmarkStart w:id="0" w:name="_GoBack"/>
      <w:bookmarkEnd w:id="0"/>
      <w:r>
        <w:rPr>
          <w:rFonts w:hint="eastAsia" w:ascii="黑体" w:eastAsia="黑体"/>
        </w:rPr>
        <w:t>（一）院领导负责对院士工作站基金经费的审批。</w:t>
      </w:r>
    </w:p>
    <w:p>
      <w:pPr>
        <w:keepNext w:val="0"/>
        <w:keepLines w:val="0"/>
        <w:pageBreakBefore w:val="0"/>
        <w:widowControl w:val="0"/>
        <w:tabs>
          <w:tab w:val="left" w:pos="-2259"/>
        </w:tabs>
        <w:kinsoku/>
        <w:wordWrap/>
        <w:overflowPunct/>
        <w:topLinePunct w:val="0"/>
        <w:autoSpaceDE/>
        <w:autoSpaceDN/>
        <w:bidi w:val="0"/>
        <w:adjustRightInd/>
        <w:snapToGrid/>
        <w:spacing w:line="360" w:lineRule="auto"/>
        <w:ind w:left="0" w:leftChars="0" w:right="0" w:rightChars="0"/>
        <w:jc w:val="both"/>
        <w:textAlignment w:val="auto"/>
        <w:outlineLvl w:val="9"/>
        <w:rPr>
          <w:rFonts w:ascii="黑体" w:eastAsia="黑体"/>
        </w:rPr>
      </w:pPr>
      <w:r>
        <w:rPr>
          <w:rFonts w:hint="eastAsia" w:ascii="黑体" w:eastAsia="黑体"/>
        </w:rPr>
        <w:t xml:space="preserve">   （二）科教处或</w:t>
      </w:r>
      <w:r>
        <w:rPr>
          <w:rFonts w:hint="eastAsia" w:ascii="黑体" w:eastAsia="黑体"/>
          <w:lang w:eastAsia="zh-CN"/>
        </w:rPr>
        <w:t>学校</w:t>
      </w:r>
      <w:r>
        <w:rPr>
          <w:rFonts w:hint="eastAsia" w:ascii="黑体" w:eastAsia="黑体"/>
        </w:rPr>
        <w:t>指定单位负责对科研经费使用的日常管理，院士工作站协同指导项目负责人编制项目经费预算，指导项目负责人按照项目立项通知书（责任书、任务书）或合同约定，以及有关科研管理规定在期权限范围内使用科研经费。科教处或</w:t>
      </w:r>
      <w:r>
        <w:rPr>
          <w:rFonts w:hint="eastAsia" w:ascii="黑体" w:eastAsia="黑体"/>
          <w:lang w:eastAsia="zh-CN"/>
        </w:rPr>
        <w:t>学校</w:t>
      </w:r>
      <w:r>
        <w:rPr>
          <w:rFonts w:hint="eastAsia" w:ascii="黑体" w:eastAsia="黑体"/>
        </w:rPr>
        <w:t>指定单位有权对经费的使用情况进行审核和监督，必要时刻由</w:t>
      </w:r>
      <w:r>
        <w:rPr>
          <w:rFonts w:hint="eastAsia" w:ascii="黑体" w:eastAsia="黑体"/>
          <w:lang w:eastAsia="zh-CN"/>
        </w:rPr>
        <w:t>学校</w:t>
      </w:r>
      <w:r>
        <w:rPr>
          <w:rFonts w:hint="eastAsia" w:ascii="黑体" w:eastAsia="黑体"/>
        </w:rPr>
        <w:t>审计部门随时对项目经费的使用情况进行内部审计。</w:t>
      </w:r>
    </w:p>
    <w:p>
      <w:pPr>
        <w:keepNext w:val="0"/>
        <w:keepLines w:val="0"/>
        <w:pageBreakBefore w:val="0"/>
        <w:widowControl w:val="0"/>
        <w:tabs>
          <w:tab w:val="left" w:pos="-2259"/>
        </w:tabs>
        <w:kinsoku/>
        <w:wordWrap/>
        <w:overflowPunct/>
        <w:topLinePunct w:val="0"/>
        <w:autoSpaceDE/>
        <w:autoSpaceDN/>
        <w:bidi w:val="0"/>
        <w:adjustRightInd/>
        <w:snapToGrid/>
        <w:spacing w:line="360" w:lineRule="auto"/>
        <w:ind w:left="0" w:leftChars="0" w:right="0" w:rightChars="0" w:firstLine="280"/>
        <w:jc w:val="both"/>
        <w:textAlignment w:val="auto"/>
        <w:outlineLvl w:val="9"/>
        <w:rPr>
          <w:rFonts w:ascii="黑体" w:eastAsia="黑体"/>
        </w:rPr>
      </w:pPr>
      <w:r>
        <w:rPr>
          <w:rFonts w:hint="eastAsia" w:ascii="黑体" w:eastAsia="黑体"/>
        </w:rPr>
        <w:t>（三）</w:t>
      </w:r>
      <w:r>
        <w:rPr>
          <w:rFonts w:hint="eastAsia" w:ascii="黑体" w:eastAsia="黑体"/>
          <w:lang w:eastAsia="zh-CN"/>
        </w:rPr>
        <w:t>学校</w:t>
      </w:r>
      <w:r>
        <w:rPr>
          <w:rFonts w:hint="eastAsia" w:ascii="黑体" w:eastAsia="黑体"/>
        </w:rPr>
        <w:t>财务科负责科研经费的财务管理和会计核算，院士工作站协同监督科研经费合理使用，确保院士工作站基金专款专用。</w:t>
      </w:r>
    </w:p>
    <w:p>
      <w:pPr>
        <w:tabs>
          <w:tab w:val="left" w:pos="-2259"/>
        </w:tabs>
        <w:spacing w:line="360" w:lineRule="auto"/>
        <w:ind w:firstLine="280"/>
        <w:rPr>
          <w:rFonts w:ascii="黑体" w:eastAsia="黑体"/>
        </w:rPr>
      </w:pPr>
    </w:p>
    <w:p>
      <w:pPr>
        <w:spacing w:line="360" w:lineRule="auto"/>
        <w:jc w:val="center"/>
        <w:rPr>
          <w:rFonts w:ascii="黑体" w:eastAsia="黑体"/>
          <w:bCs/>
          <w:sz w:val="36"/>
        </w:rPr>
      </w:pPr>
      <w:r>
        <w:rPr>
          <w:rFonts w:hint="eastAsia" w:ascii="黑体" w:eastAsia="黑体"/>
          <w:bCs/>
          <w:sz w:val="36"/>
        </w:rPr>
        <w:t>第二章 项目申请</w:t>
      </w:r>
    </w:p>
    <w:p>
      <w:pPr>
        <w:spacing w:line="360" w:lineRule="auto"/>
        <w:rPr>
          <w:rFonts w:ascii="黑体" w:eastAsia="黑体"/>
        </w:rPr>
      </w:pPr>
      <w:r>
        <w:rPr>
          <w:rFonts w:hint="eastAsia" w:ascii="黑体" w:eastAsia="黑体"/>
        </w:rPr>
        <w:t>第五条 院士工作站基金鼓励跨科室、跨学科组建课题组，联合申报，重点支持遗传学与基因组学相关研究课题。</w:t>
      </w:r>
    </w:p>
    <w:p>
      <w:pPr>
        <w:spacing w:line="360" w:lineRule="auto"/>
        <w:rPr>
          <w:rFonts w:ascii="黑体" w:eastAsia="黑体"/>
        </w:rPr>
      </w:pPr>
    </w:p>
    <w:p>
      <w:pPr>
        <w:spacing w:line="360" w:lineRule="auto"/>
        <w:rPr>
          <w:rFonts w:ascii="黑体" w:eastAsia="黑体"/>
        </w:rPr>
      </w:pPr>
      <w:r>
        <w:rPr>
          <w:rFonts w:hint="eastAsia" w:ascii="黑体" w:eastAsia="黑体"/>
        </w:rPr>
        <w:t>第六条 院士工作站将按照双方确定的申报时间集中受理项目申请。申请者应按时将经所在科室领导审查并签署意见的申请书报送科教处或</w:t>
      </w:r>
      <w:r>
        <w:rPr>
          <w:rFonts w:hint="eastAsia" w:ascii="黑体" w:eastAsia="黑体"/>
          <w:lang w:eastAsia="zh-CN"/>
        </w:rPr>
        <w:t>学校</w:t>
      </w:r>
      <w:r>
        <w:rPr>
          <w:rFonts w:hint="eastAsia" w:ascii="黑体" w:eastAsia="黑体"/>
        </w:rPr>
        <w:t>指定单位。</w:t>
      </w:r>
    </w:p>
    <w:p>
      <w:pPr>
        <w:spacing w:line="360" w:lineRule="auto"/>
        <w:rPr>
          <w:rFonts w:ascii="黑体" w:eastAsia="黑体"/>
        </w:rPr>
      </w:pPr>
    </w:p>
    <w:p>
      <w:pPr>
        <w:spacing w:line="360" w:lineRule="auto"/>
        <w:rPr>
          <w:rFonts w:ascii="黑体" w:eastAsia="黑体"/>
        </w:rPr>
      </w:pPr>
      <w:r>
        <w:rPr>
          <w:rFonts w:hint="eastAsia" w:ascii="黑体" w:eastAsia="黑体"/>
        </w:rPr>
        <w:t>第七条 院士工作站基金科研项目的主要申请者一般应符合以下条件：</w:t>
      </w:r>
    </w:p>
    <w:p>
      <w:pPr>
        <w:spacing w:line="360" w:lineRule="auto"/>
        <w:rPr>
          <w:rFonts w:ascii="黑体" w:eastAsia="黑体"/>
        </w:rPr>
      </w:pPr>
      <w:r>
        <w:rPr>
          <w:rFonts w:hint="eastAsia" w:ascii="黑体" w:eastAsia="黑体"/>
        </w:rPr>
        <w:t>（1）已取得硕士(含)以上学位或具有中级(含)以上专业技术职务；</w:t>
      </w:r>
    </w:p>
    <w:p>
      <w:pPr>
        <w:spacing w:line="360" w:lineRule="auto"/>
        <w:rPr>
          <w:rFonts w:ascii="黑体" w:eastAsia="黑体"/>
        </w:rPr>
      </w:pPr>
      <w:r>
        <w:rPr>
          <w:rFonts w:hint="eastAsia" w:ascii="黑体" w:eastAsia="黑体"/>
        </w:rPr>
        <w:t>（2）具有与申请项目相对应的研究基础与条件；</w:t>
      </w:r>
    </w:p>
    <w:p>
      <w:pPr>
        <w:spacing w:line="360" w:lineRule="auto"/>
        <w:rPr>
          <w:rFonts w:ascii="黑体" w:eastAsia="黑体"/>
        </w:rPr>
      </w:pPr>
    </w:p>
    <w:p>
      <w:pPr>
        <w:spacing w:line="360" w:lineRule="auto"/>
        <w:rPr>
          <w:rFonts w:ascii="黑体" w:hAnsi="楷体" w:eastAsia="黑体" w:cs="楷体_GB2312"/>
          <w:szCs w:val="28"/>
        </w:rPr>
      </w:pPr>
      <w:r>
        <w:rPr>
          <w:rFonts w:hint="eastAsia" w:ascii="黑体" w:hAnsi="楷体" w:eastAsia="黑体" w:cs="楷体_GB2312"/>
          <w:szCs w:val="28"/>
        </w:rPr>
        <w:t>第八条 项目研究周期一般为两年到三年。</w:t>
      </w:r>
    </w:p>
    <w:p>
      <w:pPr>
        <w:spacing w:line="360" w:lineRule="auto"/>
        <w:rPr>
          <w:rFonts w:ascii="黑体" w:hAnsi="楷体" w:eastAsia="黑体" w:cs="楷体_GB2312"/>
          <w:szCs w:val="28"/>
        </w:rPr>
      </w:pPr>
    </w:p>
    <w:p>
      <w:pPr>
        <w:spacing w:line="360" w:lineRule="auto"/>
        <w:rPr>
          <w:rFonts w:ascii="黑体" w:hAnsi="楷体" w:eastAsia="黑体" w:cs="楷体_GB2312"/>
          <w:szCs w:val="28"/>
        </w:rPr>
      </w:pPr>
      <w:r>
        <w:rPr>
          <w:rFonts w:hint="eastAsia" w:ascii="黑体" w:hAnsi="楷体" w:eastAsia="黑体" w:cs="楷体_GB2312"/>
          <w:szCs w:val="28"/>
        </w:rPr>
        <w:t>第九条 基金资助额度可根据项目规模灵活调整。</w:t>
      </w:r>
    </w:p>
    <w:p>
      <w:pPr>
        <w:spacing w:line="360" w:lineRule="auto"/>
        <w:rPr>
          <w:rFonts w:ascii="黑体" w:eastAsia="黑体"/>
        </w:rPr>
      </w:pPr>
    </w:p>
    <w:p>
      <w:pPr>
        <w:spacing w:line="360" w:lineRule="auto"/>
        <w:jc w:val="center"/>
        <w:rPr>
          <w:rFonts w:ascii="黑体" w:eastAsia="黑体"/>
          <w:bCs/>
          <w:sz w:val="36"/>
        </w:rPr>
      </w:pPr>
      <w:r>
        <w:rPr>
          <w:rFonts w:hint="eastAsia" w:ascii="黑体" w:eastAsia="黑体"/>
          <w:bCs/>
          <w:sz w:val="36"/>
        </w:rPr>
        <w:t>第三章  项目评审</w:t>
      </w:r>
    </w:p>
    <w:p>
      <w:pPr>
        <w:spacing w:line="360" w:lineRule="auto"/>
        <w:rPr>
          <w:rFonts w:ascii="黑体" w:eastAsia="黑体"/>
        </w:rPr>
      </w:pPr>
      <w:r>
        <w:rPr>
          <w:rFonts w:hint="eastAsia" w:ascii="黑体" w:eastAsia="黑体"/>
        </w:rPr>
        <w:t>第十条 院士工作站基金科研项目的评审原则是：依靠专家、依托科室和</w:t>
      </w:r>
      <w:r>
        <w:rPr>
          <w:rFonts w:hint="eastAsia" w:ascii="黑体" w:eastAsia="黑体"/>
          <w:lang w:eastAsia="zh-CN"/>
        </w:rPr>
        <w:t>学校及</w:t>
      </w:r>
      <w:r>
        <w:rPr>
          <w:rFonts w:hint="eastAsia" w:ascii="黑体" w:eastAsia="黑体"/>
        </w:rPr>
        <w:t>医院优势资源、发扬民主、公正合理。</w:t>
      </w:r>
    </w:p>
    <w:p>
      <w:pPr>
        <w:spacing w:line="360" w:lineRule="auto"/>
        <w:rPr>
          <w:rFonts w:ascii="黑体" w:eastAsia="黑体"/>
        </w:rPr>
      </w:pPr>
    </w:p>
    <w:p>
      <w:pPr>
        <w:spacing w:line="360" w:lineRule="auto"/>
        <w:rPr>
          <w:rFonts w:ascii="黑体" w:eastAsia="黑体"/>
        </w:rPr>
      </w:pPr>
      <w:r>
        <w:rPr>
          <w:rFonts w:hint="eastAsia" w:ascii="黑体" w:eastAsia="黑体"/>
        </w:rPr>
        <w:t>第十一条 院士工作站基金的评审分为初审和复审。初审由本院科教处或</w:t>
      </w:r>
      <w:r>
        <w:rPr>
          <w:rFonts w:hint="eastAsia" w:ascii="黑体" w:eastAsia="黑体"/>
          <w:lang w:eastAsia="zh-CN"/>
        </w:rPr>
        <w:t>学校</w:t>
      </w:r>
      <w:r>
        <w:rPr>
          <w:rFonts w:hint="eastAsia" w:ascii="黑体" w:eastAsia="黑体"/>
        </w:rPr>
        <w:t>指定单位负责，核查如下内容：</w:t>
      </w:r>
    </w:p>
    <w:p>
      <w:pPr>
        <w:spacing w:line="360" w:lineRule="auto"/>
        <w:rPr>
          <w:rFonts w:ascii="黑体" w:eastAsia="黑体"/>
        </w:rPr>
      </w:pPr>
      <w:r>
        <w:rPr>
          <w:rFonts w:hint="eastAsia" w:ascii="黑体" w:eastAsia="黑体"/>
        </w:rPr>
        <w:t xml:space="preserve">    1.申请者是否具备申请资格；</w:t>
      </w:r>
    </w:p>
    <w:p>
      <w:pPr>
        <w:spacing w:line="360" w:lineRule="auto"/>
        <w:rPr>
          <w:rFonts w:ascii="黑体" w:eastAsia="黑体"/>
        </w:rPr>
      </w:pPr>
      <w:r>
        <w:rPr>
          <w:rFonts w:hint="eastAsia" w:ascii="黑体" w:eastAsia="黑体"/>
        </w:rPr>
        <w:t xml:space="preserve">    2.申请书填写是否符合规定，申请手续是否完备；</w:t>
      </w:r>
    </w:p>
    <w:p>
      <w:pPr>
        <w:spacing w:line="360" w:lineRule="auto"/>
        <w:rPr>
          <w:rFonts w:ascii="黑体" w:eastAsia="黑体"/>
        </w:rPr>
      </w:pPr>
      <w:r>
        <w:rPr>
          <w:rFonts w:hint="eastAsia" w:ascii="黑体" w:eastAsia="黑体"/>
        </w:rPr>
        <w:t xml:space="preserve">    3.是否符合科研基金资助范围；</w:t>
      </w:r>
    </w:p>
    <w:p>
      <w:pPr>
        <w:spacing w:line="360" w:lineRule="auto"/>
        <w:ind w:firstLine="600"/>
        <w:rPr>
          <w:rFonts w:ascii="黑体" w:eastAsia="黑体"/>
        </w:rPr>
      </w:pPr>
      <w:r>
        <w:rPr>
          <w:rFonts w:hint="eastAsia" w:ascii="黑体" w:eastAsia="黑体"/>
        </w:rPr>
        <w:t>4.是否具备实施该项目的研究能力和基本的研究条件；</w:t>
      </w:r>
    </w:p>
    <w:p>
      <w:pPr>
        <w:spacing w:line="360" w:lineRule="auto"/>
        <w:rPr>
          <w:rFonts w:ascii="黑体" w:eastAsia="黑体"/>
        </w:rPr>
      </w:pPr>
    </w:p>
    <w:p>
      <w:pPr>
        <w:numPr>
          <w:ilvl w:val="0"/>
          <w:numId w:val="1"/>
        </w:numPr>
        <w:spacing w:line="360" w:lineRule="auto"/>
        <w:rPr>
          <w:rFonts w:ascii="黑体" w:eastAsia="黑体"/>
        </w:rPr>
      </w:pPr>
      <w:r>
        <w:rPr>
          <w:rFonts w:hint="eastAsia" w:ascii="黑体" w:eastAsia="黑体"/>
        </w:rPr>
        <w:t xml:space="preserve"> 经初审合格项目送院士工作站，由院士工作站邀请各领域专家进行复审（必要时会组织现场答辩），从以下方面进行综合评分、排序和筛选：</w:t>
      </w:r>
    </w:p>
    <w:p>
      <w:pPr>
        <w:numPr>
          <w:ilvl w:val="0"/>
          <w:numId w:val="2"/>
        </w:numPr>
        <w:spacing w:line="360" w:lineRule="auto"/>
        <w:ind w:left="560" w:leftChars="200"/>
        <w:rPr>
          <w:rFonts w:ascii="黑体" w:eastAsia="黑体"/>
        </w:rPr>
      </w:pPr>
      <w:r>
        <w:rPr>
          <w:rFonts w:hint="eastAsia" w:ascii="黑体" w:eastAsia="黑体"/>
        </w:rPr>
        <w:t>研究内容完整，学术思想新颖，研究目标明确；</w:t>
      </w:r>
    </w:p>
    <w:p>
      <w:pPr>
        <w:numPr>
          <w:ilvl w:val="0"/>
          <w:numId w:val="2"/>
        </w:numPr>
        <w:spacing w:line="360" w:lineRule="auto"/>
        <w:ind w:left="560" w:leftChars="200"/>
        <w:rPr>
          <w:rFonts w:ascii="黑体" w:eastAsia="黑体"/>
        </w:rPr>
      </w:pPr>
      <w:r>
        <w:rPr>
          <w:rFonts w:hint="eastAsia" w:ascii="黑体" w:eastAsia="黑体"/>
        </w:rPr>
        <w:t>研究方法和技术路线合理、可行；</w:t>
      </w:r>
    </w:p>
    <w:p>
      <w:pPr>
        <w:spacing w:line="360" w:lineRule="auto"/>
        <w:ind w:left="560" w:leftChars="200"/>
        <w:rPr>
          <w:rFonts w:ascii="黑体" w:eastAsia="黑体"/>
        </w:rPr>
      </w:pPr>
      <w:r>
        <w:rPr>
          <w:rFonts w:hint="eastAsia" w:ascii="黑体" w:eastAsia="黑体"/>
        </w:rPr>
        <w:t>3.研究人员具有较高的研究水平和可靠的时间保证；</w:t>
      </w:r>
    </w:p>
    <w:p>
      <w:pPr>
        <w:spacing w:line="360" w:lineRule="auto"/>
        <w:ind w:left="560" w:leftChars="200"/>
        <w:rPr>
          <w:rFonts w:ascii="黑体" w:eastAsia="黑体"/>
        </w:rPr>
      </w:pPr>
      <w:r>
        <w:rPr>
          <w:rFonts w:hint="eastAsia" w:ascii="黑体" w:eastAsia="黑体"/>
        </w:rPr>
        <w:t>4.所在科室具备基本的研究条件并给予支持；</w:t>
      </w:r>
    </w:p>
    <w:p>
      <w:pPr>
        <w:spacing w:line="360" w:lineRule="auto"/>
        <w:ind w:left="560" w:leftChars="200"/>
        <w:rPr>
          <w:rFonts w:ascii="黑体" w:eastAsia="黑体"/>
        </w:rPr>
      </w:pPr>
      <w:r>
        <w:rPr>
          <w:rFonts w:hint="eastAsia" w:ascii="黑体" w:eastAsia="黑体"/>
        </w:rPr>
        <w:t>5.研究经费预算合理，计划进度安排适当</w:t>
      </w:r>
      <w:r>
        <w:rPr>
          <w:rFonts w:hint="eastAsia" w:ascii="黑体" w:eastAsia="黑体"/>
          <w:lang w:eastAsia="zh-CN"/>
        </w:rPr>
        <w:t>。</w:t>
      </w:r>
    </w:p>
    <w:p>
      <w:pPr>
        <w:spacing w:line="360" w:lineRule="auto"/>
        <w:ind w:firstLine="600"/>
        <w:rPr>
          <w:rFonts w:ascii="黑体" w:eastAsia="黑体"/>
        </w:rPr>
      </w:pPr>
    </w:p>
    <w:p>
      <w:pPr>
        <w:spacing w:line="360" w:lineRule="auto"/>
        <w:jc w:val="center"/>
        <w:rPr>
          <w:rFonts w:ascii="黑体" w:eastAsia="黑体"/>
          <w:bCs/>
          <w:sz w:val="36"/>
        </w:rPr>
      </w:pPr>
      <w:r>
        <w:rPr>
          <w:rFonts w:hint="eastAsia" w:ascii="黑体" w:eastAsia="黑体"/>
          <w:bCs/>
          <w:sz w:val="36"/>
        </w:rPr>
        <w:t>第四章  项目的实施与检查</w:t>
      </w:r>
    </w:p>
    <w:p>
      <w:pPr>
        <w:spacing w:line="360" w:lineRule="auto"/>
        <w:rPr>
          <w:rFonts w:ascii="黑体" w:eastAsia="黑体"/>
        </w:rPr>
      </w:pPr>
      <w:r>
        <w:rPr>
          <w:rFonts w:hint="eastAsia" w:ascii="黑体" w:eastAsia="黑体"/>
        </w:rPr>
        <w:t>第十三条 院士工作站基金鼓励项目组在研究中不断进行创新，但涉及改变计划、研究内容及中止计划等情况时，项目负责人须提出书面报告，经所在科室领导和院士工作站审核并签署意见后，报科教处或</w:t>
      </w:r>
      <w:r>
        <w:rPr>
          <w:rFonts w:hint="eastAsia" w:ascii="黑体" w:eastAsia="黑体"/>
          <w:lang w:eastAsia="zh-CN"/>
        </w:rPr>
        <w:t>学校</w:t>
      </w:r>
      <w:r>
        <w:rPr>
          <w:rFonts w:hint="eastAsia" w:ascii="黑体" w:eastAsia="黑体"/>
        </w:rPr>
        <w:t>指定单位审批后生效。</w:t>
      </w:r>
    </w:p>
    <w:p>
      <w:pPr>
        <w:spacing w:line="360" w:lineRule="auto"/>
        <w:ind w:firstLine="600"/>
        <w:rPr>
          <w:rFonts w:ascii="黑体" w:eastAsia="黑体"/>
        </w:rPr>
      </w:pPr>
    </w:p>
    <w:p>
      <w:pPr>
        <w:spacing w:line="360" w:lineRule="auto"/>
        <w:rPr>
          <w:rFonts w:ascii="黑体" w:eastAsia="黑体"/>
        </w:rPr>
      </w:pPr>
      <w:r>
        <w:rPr>
          <w:rFonts w:hint="eastAsia" w:ascii="黑体" w:eastAsia="黑体"/>
        </w:rPr>
        <w:t>第十四条 院士工作站基金资助的项目一经批准，不得随意变更项目负责人。项目负责人因故无法履行职责需要变更的，原项目负责人应以书面形式报请设站</w:t>
      </w:r>
      <w:r>
        <w:rPr>
          <w:rFonts w:hint="eastAsia" w:ascii="黑体" w:eastAsia="黑体"/>
          <w:lang w:eastAsia="zh-CN"/>
        </w:rPr>
        <w:t>学校</w:t>
      </w:r>
      <w:r>
        <w:rPr>
          <w:rFonts w:hint="eastAsia" w:ascii="黑体" w:eastAsia="黑体"/>
        </w:rPr>
        <w:t>科教处或</w:t>
      </w:r>
      <w:r>
        <w:rPr>
          <w:rFonts w:hint="eastAsia" w:ascii="黑体" w:eastAsia="黑体"/>
          <w:lang w:eastAsia="zh-CN"/>
        </w:rPr>
        <w:t>学校</w:t>
      </w:r>
      <w:r>
        <w:rPr>
          <w:rFonts w:hint="eastAsia" w:ascii="黑体" w:eastAsia="黑体"/>
        </w:rPr>
        <w:t>指定单位及院士工作站同意。</w:t>
      </w:r>
    </w:p>
    <w:p>
      <w:pPr>
        <w:spacing w:line="360" w:lineRule="auto"/>
        <w:rPr>
          <w:rFonts w:ascii="黑体" w:eastAsia="黑体"/>
        </w:rPr>
      </w:pPr>
    </w:p>
    <w:p>
      <w:pPr>
        <w:spacing w:line="360" w:lineRule="auto"/>
        <w:rPr>
          <w:rFonts w:ascii="黑体" w:eastAsia="黑体"/>
        </w:rPr>
      </w:pPr>
      <w:r>
        <w:rPr>
          <w:rFonts w:hint="eastAsia" w:ascii="黑体" w:eastAsia="黑体"/>
        </w:rPr>
        <w:t>第十五条 项目实施过程中，院士工作站驻点专家会不定期组织专家对立项项目进行方案指导及优化，具体跟踪各项目年度及中期进展，并协助项目负责人在课题执行过程中充分利用院士团队先进技术平台。项目负责人在项目周期进行过半前须填写《科研基金资助项目中期进展报告》(简称《中期报告》)，经所在科室领导签署意见并经院士工作站检查合格后，划拨该项目剩余经费。</w:t>
      </w:r>
    </w:p>
    <w:p>
      <w:pPr>
        <w:spacing w:line="360" w:lineRule="auto"/>
        <w:rPr>
          <w:rFonts w:ascii="黑体" w:eastAsia="黑体"/>
        </w:rPr>
      </w:pPr>
    </w:p>
    <w:p>
      <w:pPr>
        <w:spacing w:line="360" w:lineRule="auto"/>
        <w:rPr>
          <w:rFonts w:ascii="黑体" w:eastAsia="黑体"/>
        </w:rPr>
      </w:pPr>
      <w:r>
        <w:rPr>
          <w:rFonts w:hint="eastAsia" w:ascii="黑体" w:eastAsia="黑体"/>
        </w:rPr>
        <w:t>第十六条 项目因故无法按合同书规定时间完成，必须延期的，项目负责人应及时报请本院科教处或</w:t>
      </w:r>
      <w:r>
        <w:rPr>
          <w:rFonts w:hint="eastAsia" w:ascii="黑体" w:eastAsia="黑体"/>
          <w:lang w:eastAsia="zh-CN"/>
        </w:rPr>
        <w:t>学校</w:t>
      </w:r>
      <w:r>
        <w:rPr>
          <w:rFonts w:hint="eastAsia" w:ascii="黑体" w:eastAsia="黑体"/>
        </w:rPr>
        <w:t>指定单位和院士工作站审核批准。延期时间最长不得超过一年；否则按不能完成处理。对研究计划执行不力或难以取得研究结果的项目，经科教处或</w:t>
      </w:r>
      <w:r>
        <w:rPr>
          <w:rFonts w:hint="eastAsia" w:ascii="黑体" w:eastAsia="黑体"/>
          <w:lang w:eastAsia="zh-CN"/>
        </w:rPr>
        <w:t>学校</w:t>
      </w:r>
      <w:r>
        <w:rPr>
          <w:rFonts w:hint="eastAsia" w:ascii="黑体" w:eastAsia="黑体"/>
        </w:rPr>
        <w:t>指定单位审查、报院士工作站专家委员会批准后建议中止或撤销。</w:t>
      </w:r>
    </w:p>
    <w:p>
      <w:pPr>
        <w:spacing w:line="360" w:lineRule="auto"/>
        <w:ind w:firstLine="600"/>
        <w:rPr>
          <w:rFonts w:ascii="黑体" w:eastAsia="黑体"/>
        </w:rPr>
      </w:pPr>
    </w:p>
    <w:p>
      <w:pPr>
        <w:pStyle w:val="15"/>
        <w:tabs>
          <w:tab w:val="left" w:pos="7279"/>
        </w:tabs>
        <w:spacing w:line="360" w:lineRule="auto"/>
        <w:ind w:firstLine="0" w:firstLineChars="0"/>
        <w:jc w:val="center"/>
        <w:rPr>
          <w:rFonts w:ascii="黑体" w:eastAsia="黑体"/>
          <w:b/>
          <w:sz w:val="36"/>
        </w:rPr>
      </w:pPr>
      <w:r>
        <w:rPr>
          <w:rFonts w:hint="eastAsia" w:ascii="黑体" w:eastAsia="黑体"/>
          <w:b/>
          <w:sz w:val="36"/>
        </w:rPr>
        <w:t>第五章 经费拨付与管理</w:t>
      </w:r>
    </w:p>
    <w:p>
      <w:pPr>
        <w:tabs>
          <w:tab w:val="left" w:pos="7279"/>
        </w:tabs>
        <w:spacing w:line="360" w:lineRule="auto"/>
        <w:rPr>
          <w:rFonts w:ascii="黑体" w:eastAsia="黑体"/>
        </w:rPr>
      </w:pPr>
      <w:r>
        <w:rPr>
          <w:rFonts w:hint="eastAsia" w:ascii="黑体" w:eastAsia="黑体"/>
        </w:rPr>
        <w:t>第十七条 坚持款项使用与项目计划进度相结合的原则，在规定的开支允许范围内以项目负责人自主支配经费为主。项目立项后将按照资助额度拨付50%，项目中期考核过关后拨付剩余经费。</w:t>
      </w:r>
    </w:p>
    <w:p>
      <w:pPr>
        <w:tabs>
          <w:tab w:val="left" w:pos="7279"/>
        </w:tabs>
        <w:spacing w:line="360" w:lineRule="auto"/>
        <w:rPr>
          <w:rFonts w:ascii="黑体" w:eastAsia="黑体"/>
        </w:rPr>
      </w:pPr>
    </w:p>
    <w:p>
      <w:pPr>
        <w:tabs>
          <w:tab w:val="left" w:pos="7279"/>
        </w:tabs>
        <w:spacing w:line="360" w:lineRule="auto"/>
        <w:rPr>
          <w:rFonts w:ascii="黑体" w:eastAsia="黑体"/>
        </w:rPr>
      </w:pPr>
      <w:r>
        <w:rPr>
          <w:rFonts w:hint="eastAsia" w:ascii="黑体" w:eastAsia="黑体"/>
        </w:rPr>
        <w:t>第十八条 科研基金经费使用包含如下范围：</w:t>
      </w:r>
    </w:p>
    <w:p>
      <w:pPr>
        <w:tabs>
          <w:tab w:val="left" w:pos="7279"/>
        </w:tabs>
        <w:spacing w:line="360" w:lineRule="auto"/>
        <w:rPr>
          <w:rFonts w:ascii="黑体" w:eastAsia="黑体"/>
        </w:rPr>
      </w:pPr>
      <w:r>
        <w:rPr>
          <w:rFonts w:hint="eastAsia" w:ascii="黑体" w:eastAsia="黑体"/>
        </w:rPr>
        <w:t>（一）科研业务费</w:t>
      </w:r>
    </w:p>
    <w:p>
      <w:pPr>
        <w:tabs>
          <w:tab w:val="left" w:pos="7279"/>
        </w:tabs>
        <w:spacing w:line="360" w:lineRule="auto"/>
        <w:rPr>
          <w:rFonts w:ascii="黑体" w:eastAsia="黑体"/>
        </w:rPr>
      </w:pPr>
      <w:r>
        <w:rPr>
          <w:rFonts w:hint="eastAsia" w:ascii="黑体" w:eastAsia="黑体"/>
        </w:rPr>
        <w:t xml:space="preserve">    1.科研项目所需加工、测试、计算、分析费。如需委托外单位完成的费用，需要提供合同书。</w:t>
      </w:r>
    </w:p>
    <w:p>
      <w:pPr>
        <w:tabs>
          <w:tab w:val="left" w:pos="7279"/>
        </w:tabs>
        <w:spacing w:line="360" w:lineRule="auto"/>
        <w:rPr>
          <w:rFonts w:ascii="黑体" w:eastAsia="黑体"/>
        </w:rPr>
      </w:pPr>
      <w:r>
        <w:rPr>
          <w:rFonts w:hint="eastAsia" w:ascii="黑体" w:eastAsia="黑体"/>
        </w:rPr>
        <w:t xml:space="preserve">    2.文献检索、出版版面费、印刷复印费、邮资。</w:t>
      </w:r>
    </w:p>
    <w:p>
      <w:pPr>
        <w:tabs>
          <w:tab w:val="left" w:pos="7279"/>
        </w:tabs>
        <w:spacing w:line="360" w:lineRule="auto"/>
        <w:rPr>
          <w:rFonts w:ascii="黑体" w:eastAsia="黑体"/>
        </w:rPr>
      </w:pPr>
      <w:r>
        <w:rPr>
          <w:rFonts w:hint="eastAsia" w:ascii="黑体" w:eastAsia="黑体"/>
        </w:rPr>
        <w:t xml:space="preserve">    3. 国内调研和参加学术会议的差旅费（仅限与课题有关的学术会议，且是课题组成员或交流论文前三位作者）。</w:t>
      </w:r>
    </w:p>
    <w:p>
      <w:pPr>
        <w:tabs>
          <w:tab w:val="left" w:pos="7279"/>
        </w:tabs>
        <w:spacing w:line="360" w:lineRule="auto"/>
        <w:rPr>
          <w:rFonts w:ascii="黑体" w:eastAsia="黑体"/>
        </w:rPr>
      </w:pPr>
      <w:r>
        <w:rPr>
          <w:rFonts w:hint="eastAsia" w:ascii="黑体" w:eastAsia="黑体"/>
        </w:rPr>
        <w:t>（二）实验材料费</w:t>
      </w:r>
    </w:p>
    <w:p>
      <w:pPr>
        <w:tabs>
          <w:tab w:val="left" w:pos="7279"/>
        </w:tabs>
        <w:spacing w:line="360" w:lineRule="auto"/>
        <w:rPr>
          <w:rFonts w:ascii="黑体" w:eastAsia="黑体"/>
        </w:rPr>
      </w:pPr>
      <w:r>
        <w:rPr>
          <w:rFonts w:hint="eastAsia" w:ascii="黑体" w:eastAsia="黑体"/>
        </w:rPr>
        <w:t xml:space="preserve">    1. 原材料、试剂、药品等消耗品购置费。</w:t>
      </w:r>
    </w:p>
    <w:p>
      <w:pPr>
        <w:tabs>
          <w:tab w:val="left" w:pos="7279"/>
        </w:tabs>
        <w:spacing w:line="360" w:lineRule="auto"/>
        <w:rPr>
          <w:rFonts w:ascii="黑体" w:eastAsia="黑体"/>
        </w:rPr>
      </w:pPr>
      <w:r>
        <w:rPr>
          <w:rFonts w:hint="eastAsia" w:ascii="黑体" w:eastAsia="黑体"/>
        </w:rPr>
        <w:t xml:space="preserve">    2. 实验动植物的购置、种植、养殖费。</w:t>
      </w:r>
    </w:p>
    <w:p>
      <w:pPr>
        <w:tabs>
          <w:tab w:val="left" w:pos="7279"/>
        </w:tabs>
        <w:spacing w:line="360" w:lineRule="auto"/>
        <w:rPr>
          <w:rFonts w:ascii="黑体" w:eastAsia="黑体"/>
        </w:rPr>
      </w:pPr>
      <w:r>
        <w:rPr>
          <w:rFonts w:hint="eastAsia" w:ascii="黑体" w:eastAsia="黑体"/>
        </w:rPr>
        <w:t xml:space="preserve">    3. 标本、样品的采集、加工费和包装运输费。</w:t>
      </w:r>
    </w:p>
    <w:p>
      <w:pPr>
        <w:tabs>
          <w:tab w:val="left" w:pos="7279"/>
        </w:tabs>
        <w:spacing w:line="360" w:lineRule="auto"/>
        <w:rPr>
          <w:rFonts w:ascii="黑体" w:eastAsia="黑体"/>
        </w:rPr>
      </w:pPr>
      <w:r>
        <w:rPr>
          <w:rFonts w:hint="eastAsia" w:ascii="黑体" w:eastAsia="黑体"/>
        </w:rPr>
        <w:t>（三）项目管理费</w:t>
      </w:r>
    </w:p>
    <w:p>
      <w:pPr>
        <w:tabs>
          <w:tab w:val="left" w:pos="7279"/>
        </w:tabs>
        <w:spacing w:line="360" w:lineRule="auto"/>
        <w:rPr>
          <w:rFonts w:ascii="黑体" w:eastAsia="黑体"/>
        </w:rPr>
      </w:pPr>
      <w:r>
        <w:rPr>
          <w:rFonts w:hint="eastAsia" w:ascii="黑体" w:eastAsia="黑体"/>
        </w:rPr>
        <w:t>设站</w:t>
      </w:r>
      <w:r>
        <w:rPr>
          <w:rFonts w:hint="eastAsia" w:ascii="黑体" w:eastAsia="黑体"/>
          <w:lang w:eastAsia="zh-CN"/>
        </w:rPr>
        <w:t>学校</w:t>
      </w:r>
      <w:r>
        <w:rPr>
          <w:rFonts w:hint="eastAsia" w:ascii="黑体" w:eastAsia="黑体"/>
        </w:rPr>
        <w:t>科教处或</w:t>
      </w:r>
      <w:r>
        <w:rPr>
          <w:rFonts w:hint="eastAsia" w:ascii="黑体" w:eastAsia="黑体"/>
          <w:lang w:eastAsia="zh-CN"/>
        </w:rPr>
        <w:t>学校</w:t>
      </w:r>
      <w:r>
        <w:rPr>
          <w:rFonts w:hint="eastAsia" w:ascii="黑体" w:eastAsia="黑体"/>
        </w:rPr>
        <w:t>指定单位可提取不超过总经费的5%作为项目管理费，主要用于经费管理活动、专家评审费及必要的业务活动费用。</w:t>
      </w:r>
    </w:p>
    <w:p>
      <w:pPr>
        <w:tabs>
          <w:tab w:val="left" w:pos="7279"/>
        </w:tabs>
        <w:spacing w:line="360" w:lineRule="auto"/>
        <w:rPr>
          <w:rFonts w:ascii="黑体" w:eastAsia="黑体"/>
        </w:rPr>
      </w:pPr>
      <w:r>
        <w:rPr>
          <w:rFonts w:hint="eastAsia" w:ascii="黑体" w:eastAsia="黑体"/>
        </w:rPr>
        <w:t>（四）原则上院士工作站基金不能用于劳务费、仪器设备采购、升级、维修等科目。</w:t>
      </w:r>
    </w:p>
    <w:p>
      <w:pPr>
        <w:tabs>
          <w:tab w:val="left" w:pos="7279"/>
        </w:tabs>
        <w:spacing w:line="360" w:lineRule="auto"/>
        <w:rPr>
          <w:rFonts w:ascii="黑体" w:eastAsia="黑体"/>
        </w:rPr>
      </w:pPr>
    </w:p>
    <w:p>
      <w:pPr>
        <w:tabs>
          <w:tab w:val="left" w:pos="7279"/>
        </w:tabs>
        <w:spacing w:line="360" w:lineRule="auto"/>
        <w:rPr>
          <w:rFonts w:ascii="黑体" w:eastAsia="黑体"/>
        </w:rPr>
      </w:pPr>
      <w:r>
        <w:rPr>
          <w:rFonts w:hint="eastAsia" w:ascii="黑体" w:eastAsia="黑体"/>
        </w:rPr>
        <w:t>第十九条 项目审批通过后，科教处或</w:t>
      </w:r>
      <w:r>
        <w:rPr>
          <w:rFonts w:hint="eastAsia" w:ascii="黑体" w:eastAsia="黑体"/>
          <w:lang w:eastAsia="zh-CN"/>
        </w:rPr>
        <w:t>学校</w:t>
      </w:r>
      <w:r>
        <w:rPr>
          <w:rFonts w:hint="eastAsia" w:ascii="黑体" w:eastAsia="黑体"/>
        </w:rPr>
        <w:t>指定单位根据项目立项批准通知或合同建立专题经费本或经费使用卡，并按课题类别编号，财务科根据课题类别及编号建立明细账目。项目经费必须专款专用，单独核算，并自觉接受财政和审计部门的检查、监督。科研课题经费报销按照驻站</w:t>
      </w:r>
      <w:r>
        <w:rPr>
          <w:rFonts w:hint="eastAsia" w:ascii="黑体" w:eastAsia="黑体"/>
          <w:lang w:eastAsia="zh-CN"/>
        </w:rPr>
        <w:t>学校</w:t>
      </w:r>
      <w:r>
        <w:rPr>
          <w:rFonts w:hint="eastAsia" w:ascii="黑体" w:eastAsia="黑体"/>
        </w:rPr>
        <w:t>财务管理规定办理。</w:t>
      </w:r>
    </w:p>
    <w:p>
      <w:pPr>
        <w:tabs>
          <w:tab w:val="left" w:pos="7279"/>
        </w:tabs>
        <w:spacing w:line="360" w:lineRule="auto"/>
        <w:rPr>
          <w:rFonts w:ascii="黑体" w:eastAsia="黑体"/>
        </w:rPr>
      </w:pPr>
    </w:p>
    <w:p>
      <w:pPr>
        <w:tabs>
          <w:tab w:val="left" w:pos="7279"/>
        </w:tabs>
        <w:spacing w:line="360" w:lineRule="auto"/>
        <w:rPr>
          <w:rFonts w:ascii="黑体" w:eastAsia="黑体"/>
          <w:bCs/>
          <w:sz w:val="36"/>
        </w:rPr>
      </w:pPr>
      <w:r>
        <w:rPr>
          <w:rFonts w:hint="eastAsia" w:ascii="黑体" w:eastAsia="黑体"/>
        </w:rPr>
        <w:t>第二十条 科研项目结束或中止、撤消后，均应根据任务下达单位和项目合同书的要求，由课题负责人在两个月内编报课题总决算，经财务科审核后报科处核销。</w:t>
      </w:r>
    </w:p>
    <w:p>
      <w:pPr>
        <w:spacing w:line="360" w:lineRule="auto"/>
        <w:ind w:firstLine="600"/>
        <w:rPr>
          <w:rFonts w:ascii="黑体" w:eastAsia="黑体"/>
        </w:rPr>
      </w:pPr>
    </w:p>
    <w:p>
      <w:pPr>
        <w:spacing w:line="360" w:lineRule="auto"/>
        <w:jc w:val="center"/>
        <w:rPr>
          <w:rFonts w:ascii="黑体" w:eastAsia="黑体"/>
          <w:bCs/>
          <w:sz w:val="36"/>
        </w:rPr>
      </w:pPr>
      <w:r>
        <w:rPr>
          <w:rFonts w:hint="eastAsia" w:ascii="黑体" w:eastAsia="黑体"/>
          <w:bCs/>
          <w:sz w:val="36"/>
        </w:rPr>
        <w:t>第六章  结题验收和成果管理</w:t>
      </w:r>
    </w:p>
    <w:p>
      <w:pPr>
        <w:spacing w:line="360" w:lineRule="auto"/>
        <w:rPr>
          <w:rFonts w:ascii="黑体" w:eastAsia="黑体"/>
        </w:rPr>
      </w:pPr>
      <w:r>
        <w:rPr>
          <w:rFonts w:hint="eastAsia" w:ascii="黑体" w:eastAsia="黑体"/>
        </w:rPr>
        <w:t>第二十一条 科研项目结束后，项目负责人应认真撰写《科研基金资助项目总结报告》(简称《总结报告》)内容包括研究工作总结、研究成果目录、发表论文或完成论著目录及科研项目财务决算表等(一式二份)并由科室领导审查并签署意见。按统一规定，电子版报送科教处或</w:t>
      </w:r>
      <w:r>
        <w:rPr>
          <w:rFonts w:hint="eastAsia" w:ascii="黑体" w:eastAsia="黑体"/>
          <w:lang w:eastAsia="zh-CN"/>
        </w:rPr>
        <w:t>学校</w:t>
      </w:r>
      <w:r>
        <w:rPr>
          <w:rFonts w:hint="eastAsia" w:ascii="黑体" w:eastAsia="黑体"/>
        </w:rPr>
        <w:t>指定单位和院士工作站存档备查。</w:t>
      </w:r>
    </w:p>
    <w:p>
      <w:pPr>
        <w:spacing w:line="360" w:lineRule="auto"/>
        <w:rPr>
          <w:rFonts w:ascii="黑体" w:eastAsia="黑体"/>
        </w:rPr>
      </w:pPr>
    </w:p>
    <w:p>
      <w:pPr>
        <w:spacing w:line="360" w:lineRule="auto"/>
        <w:rPr>
          <w:rFonts w:ascii="黑体" w:eastAsia="黑体"/>
        </w:rPr>
      </w:pPr>
      <w:r>
        <w:rPr>
          <w:rFonts w:hint="eastAsia" w:ascii="黑体" w:eastAsia="黑体"/>
        </w:rPr>
        <w:t>第二十二条 院士工作站基金所资助的科研项目形成的报告、论文、专著，以及成果奖励等需注明院士工作站基金资助项目（中文为：</w:t>
      </w:r>
      <w:r>
        <w:rPr>
          <w:rFonts w:hint="eastAsia" w:ascii="黑体" w:eastAsia="黑体"/>
          <w:lang w:eastAsia="zh-CN"/>
        </w:rPr>
        <w:t>济宁医学院</w:t>
      </w:r>
      <w:r>
        <w:rPr>
          <w:rFonts w:hint="eastAsia" w:ascii="黑体" w:eastAsia="黑体"/>
        </w:rPr>
        <w:t>贺林院士新医学临床转化工作站科研基金；英文为：</w:t>
      </w:r>
      <w:r>
        <w:rPr>
          <w:rFonts w:eastAsia="黑体"/>
        </w:rPr>
        <w:t>Research Fund for Lin He’s Academician Workstation of New Medicine and Clinical Translation</w:t>
      </w:r>
      <w:r>
        <w:rPr>
          <w:rFonts w:hint="eastAsia" w:eastAsia="黑体"/>
          <w:lang w:val="en-US" w:eastAsia="zh-CN"/>
        </w:rPr>
        <w:t xml:space="preserve"> in Jining Medical University</w:t>
      </w:r>
      <w:r>
        <w:rPr>
          <w:rFonts w:hint="eastAsia" w:ascii="黑体" w:eastAsia="黑体"/>
        </w:rPr>
        <w:t>）。</w:t>
      </w:r>
    </w:p>
    <w:p>
      <w:pPr>
        <w:spacing w:line="360" w:lineRule="auto"/>
        <w:rPr>
          <w:rFonts w:ascii="黑体" w:eastAsia="黑体"/>
        </w:rPr>
      </w:pPr>
      <w:r>
        <w:rPr>
          <w:rFonts w:hint="eastAsia" w:ascii="黑体" w:eastAsia="黑体"/>
        </w:rPr>
        <w:t xml:space="preserve">    </w:t>
      </w:r>
    </w:p>
    <w:p>
      <w:pPr>
        <w:spacing w:line="360" w:lineRule="auto"/>
        <w:jc w:val="center"/>
        <w:rPr>
          <w:rFonts w:ascii="黑体" w:eastAsia="黑体"/>
          <w:bCs/>
          <w:sz w:val="36"/>
        </w:rPr>
      </w:pPr>
      <w:r>
        <w:rPr>
          <w:rFonts w:hint="eastAsia" w:ascii="黑体" w:eastAsia="黑体"/>
          <w:bCs/>
          <w:sz w:val="36"/>
        </w:rPr>
        <w:t>第七章    附则</w:t>
      </w:r>
    </w:p>
    <w:p>
      <w:pPr>
        <w:spacing w:line="360" w:lineRule="auto"/>
        <w:rPr>
          <w:rFonts w:ascii="黑体" w:eastAsia="黑体"/>
        </w:rPr>
      </w:pPr>
      <w:r>
        <w:rPr>
          <w:rFonts w:hint="eastAsia" w:ascii="黑体" w:eastAsia="黑体"/>
        </w:rPr>
        <w:t>第二十三条 本办法自发布之日起开始执行，科教处或</w:t>
      </w:r>
      <w:r>
        <w:rPr>
          <w:rFonts w:hint="eastAsia" w:ascii="黑体" w:eastAsia="黑体"/>
          <w:lang w:eastAsia="zh-CN"/>
        </w:rPr>
        <w:t>学校</w:t>
      </w:r>
      <w:r>
        <w:rPr>
          <w:rFonts w:hint="eastAsia" w:ascii="黑体" w:eastAsia="黑体"/>
        </w:rPr>
        <w:t>指定单位和院士工作站负责解释本办法。</w:t>
      </w:r>
    </w:p>
    <w:p>
      <w:pPr>
        <w:pStyle w:val="6"/>
        <w:ind w:right="537"/>
        <w:jc w:val="right"/>
        <w:rPr>
          <w:rFonts w:ascii="黑体" w:eastAsia="黑体"/>
          <w:sz w:val="28"/>
        </w:rPr>
      </w:pPr>
      <w:r>
        <w:rPr>
          <w:rFonts w:hint="eastAsia" w:ascii="黑体" w:eastAsia="黑体"/>
          <w:sz w:val="28"/>
        </w:rPr>
        <w:t xml:space="preserve">                               </w:t>
      </w:r>
    </w:p>
    <w:p>
      <w:pPr>
        <w:pStyle w:val="6"/>
        <w:ind w:right="537"/>
        <w:jc w:val="right"/>
        <w:rPr>
          <w:rFonts w:ascii="黑体" w:eastAsia="黑体"/>
          <w:sz w:val="28"/>
        </w:rPr>
      </w:pPr>
    </w:p>
    <w:p>
      <w:pPr>
        <w:pStyle w:val="6"/>
        <w:ind w:right="537"/>
        <w:jc w:val="right"/>
        <w:rPr>
          <w:rFonts w:ascii="黑体" w:eastAsia="黑体"/>
          <w:sz w:val="28"/>
        </w:rPr>
      </w:pPr>
      <w:r>
        <w:rPr>
          <w:rFonts w:hint="eastAsia" w:ascii="黑体" w:eastAsia="黑体"/>
          <w:sz w:val="28"/>
          <w:lang w:val="en-US" w:eastAsia="zh-CN"/>
        </w:rPr>
        <w:t>2018</w:t>
      </w:r>
      <w:r>
        <w:rPr>
          <w:rFonts w:hint="eastAsia" w:ascii="黑体" w:eastAsia="黑体"/>
          <w:sz w:val="28"/>
        </w:rPr>
        <w:t>年</w:t>
      </w:r>
      <w:r>
        <w:rPr>
          <w:rFonts w:hint="eastAsia" w:ascii="黑体" w:eastAsia="黑体"/>
          <w:sz w:val="28"/>
          <w:lang w:val="en-US" w:eastAsia="zh-CN"/>
        </w:rPr>
        <w:t xml:space="preserve"> 6</w:t>
      </w:r>
      <w:r>
        <w:rPr>
          <w:rFonts w:hint="eastAsia" w:ascii="黑体" w:eastAsia="黑体"/>
          <w:sz w:val="28"/>
        </w:rPr>
        <w:t xml:space="preserve">月 </w:t>
      </w:r>
      <w:r>
        <w:rPr>
          <w:rFonts w:hint="eastAsia" w:ascii="黑体" w:eastAsia="黑体"/>
          <w:sz w:val="28"/>
          <w:lang w:val="en-US" w:eastAsia="zh-CN"/>
        </w:rPr>
        <w:t>15</w:t>
      </w:r>
      <w:r>
        <w:rPr>
          <w:rFonts w:hint="eastAsia" w:ascii="黑体" w:eastAsia="黑体"/>
          <w:sz w:val="28"/>
        </w:rPr>
        <w:t>日</w:t>
      </w:r>
    </w:p>
    <w:sectPr>
      <w:headerReference r:id="rId3" w:type="default"/>
      <w:footerReference r:id="rId4" w:type="default"/>
      <w:footerReference r:id="rId5" w:type="even"/>
      <w:pgSz w:w="11907" w:h="16840"/>
      <w:pgMar w:top="1440" w:right="1418" w:bottom="1440"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iti SC Light">
    <w:altName w:val="Adobe 仿宋 Std R"/>
    <w:panose1 w:val="00000000000000000000"/>
    <w:charset w:val="50"/>
    <w:family w:val="auto"/>
    <w:pitch w:val="default"/>
    <w:sig w:usb0="00000000" w:usb1="00000000" w:usb2="00000010" w:usb3="00000000" w:csb0="003E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50"/>
    <w:family w:val="auto"/>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1A20"/>
    <w:multiLevelType w:val="singleLevel"/>
    <w:tmpl w:val="58D71A20"/>
    <w:lvl w:ilvl="0" w:tentative="0">
      <w:start w:val="12"/>
      <w:numFmt w:val="chineseCounting"/>
      <w:suff w:val="nothing"/>
      <w:lvlText w:val="第%1条"/>
      <w:lvlJc w:val="left"/>
    </w:lvl>
  </w:abstractNum>
  <w:abstractNum w:abstractNumId="1">
    <w:nsid w:val="58D71A39"/>
    <w:multiLevelType w:val="singleLevel"/>
    <w:tmpl w:val="58D71A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drawingGridHorizontalSpacing w:val="251"/>
  <w:drawingGridVerticalSpacing w:val="19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B8"/>
    <w:rsid w:val="00001E7B"/>
    <w:rsid w:val="000047E9"/>
    <w:rsid w:val="00030ABA"/>
    <w:rsid w:val="000866F8"/>
    <w:rsid w:val="000C2039"/>
    <w:rsid w:val="000C7FD1"/>
    <w:rsid w:val="001263A4"/>
    <w:rsid w:val="00177FDD"/>
    <w:rsid w:val="00180AE0"/>
    <w:rsid w:val="001A77B4"/>
    <w:rsid w:val="001B2FBC"/>
    <w:rsid w:val="001D51E6"/>
    <w:rsid w:val="0021742A"/>
    <w:rsid w:val="00242F0C"/>
    <w:rsid w:val="00252081"/>
    <w:rsid w:val="00285A7E"/>
    <w:rsid w:val="002A08BB"/>
    <w:rsid w:val="002B258A"/>
    <w:rsid w:val="003474D3"/>
    <w:rsid w:val="003B0E18"/>
    <w:rsid w:val="003C2096"/>
    <w:rsid w:val="003C249E"/>
    <w:rsid w:val="0042457E"/>
    <w:rsid w:val="00431D31"/>
    <w:rsid w:val="00432647"/>
    <w:rsid w:val="004625B2"/>
    <w:rsid w:val="00473746"/>
    <w:rsid w:val="004851F2"/>
    <w:rsid w:val="004D2F14"/>
    <w:rsid w:val="004D55C9"/>
    <w:rsid w:val="005056DE"/>
    <w:rsid w:val="00526CD5"/>
    <w:rsid w:val="00531C5B"/>
    <w:rsid w:val="00540C6B"/>
    <w:rsid w:val="00541B9A"/>
    <w:rsid w:val="00542C5A"/>
    <w:rsid w:val="005A036F"/>
    <w:rsid w:val="005C5E3F"/>
    <w:rsid w:val="006153FC"/>
    <w:rsid w:val="0061672B"/>
    <w:rsid w:val="006E6C47"/>
    <w:rsid w:val="006F3E67"/>
    <w:rsid w:val="006F4346"/>
    <w:rsid w:val="00712967"/>
    <w:rsid w:val="00751FC1"/>
    <w:rsid w:val="00757E1C"/>
    <w:rsid w:val="007630F7"/>
    <w:rsid w:val="00776BE9"/>
    <w:rsid w:val="007A1AA1"/>
    <w:rsid w:val="00801AA3"/>
    <w:rsid w:val="008313D5"/>
    <w:rsid w:val="0090781C"/>
    <w:rsid w:val="00923D2C"/>
    <w:rsid w:val="00944B78"/>
    <w:rsid w:val="009725FE"/>
    <w:rsid w:val="00972801"/>
    <w:rsid w:val="00975A24"/>
    <w:rsid w:val="00997861"/>
    <w:rsid w:val="00A14539"/>
    <w:rsid w:val="00A86086"/>
    <w:rsid w:val="00AD37EC"/>
    <w:rsid w:val="00AF0682"/>
    <w:rsid w:val="00B33520"/>
    <w:rsid w:val="00B42F5F"/>
    <w:rsid w:val="00B85ECF"/>
    <w:rsid w:val="00B87444"/>
    <w:rsid w:val="00BA317A"/>
    <w:rsid w:val="00BF168F"/>
    <w:rsid w:val="00C10B43"/>
    <w:rsid w:val="00C85B04"/>
    <w:rsid w:val="00CB1290"/>
    <w:rsid w:val="00CC293E"/>
    <w:rsid w:val="00D07699"/>
    <w:rsid w:val="00D27FC2"/>
    <w:rsid w:val="00D43CE1"/>
    <w:rsid w:val="00D45274"/>
    <w:rsid w:val="00D46BB8"/>
    <w:rsid w:val="00D82573"/>
    <w:rsid w:val="00D86A22"/>
    <w:rsid w:val="00DB7DA8"/>
    <w:rsid w:val="00E01567"/>
    <w:rsid w:val="00E1677B"/>
    <w:rsid w:val="00E355E4"/>
    <w:rsid w:val="00E644A6"/>
    <w:rsid w:val="00E85396"/>
    <w:rsid w:val="00E901DE"/>
    <w:rsid w:val="00F123DE"/>
    <w:rsid w:val="00F2476E"/>
    <w:rsid w:val="00F41A35"/>
    <w:rsid w:val="00F50C9A"/>
    <w:rsid w:val="00FB02BA"/>
    <w:rsid w:val="0E383A1F"/>
    <w:rsid w:val="0E58504A"/>
    <w:rsid w:val="15AF5931"/>
    <w:rsid w:val="1D0459CF"/>
    <w:rsid w:val="357731DD"/>
    <w:rsid w:val="362D354D"/>
    <w:rsid w:val="3655586E"/>
    <w:rsid w:val="3E270C1B"/>
    <w:rsid w:val="56C40EF4"/>
    <w:rsid w:val="5A172324"/>
    <w:rsid w:val="63B23496"/>
    <w:rsid w:val="6F290EE0"/>
    <w:rsid w:val="7A5C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pPr>
      <w:jc w:val="center"/>
    </w:pPr>
    <w:rPr>
      <w:spacing w:val="-10"/>
      <w:sz w:val="18"/>
    </w:rPr>
  </w:style>
  <w:style w:type="paragraph" w:styleId="3">
    <w:name w:val="Body Text Indent"/>
    <w:basedOn w:val="1"/>
    <w:qFormat/>
    <w:uiPriority w:val="0"/>
    <w:pPr>
      <w:spacing w:before="240"/>
      <w:ind w:right="48" w:firstLine="420"/>
    </w:pPr>
    <w:rPr>
      <w:sz w:val="21"/>
    </w:rPr>
  </w:style>
  <w:style w:type="paragraph" w:styleId="4">
    <w:name w:val="Block Text"/>
    <w:basedOn w:val="1"/>
    <w:qFormat/>
    <w:uiPriority w:val="0"/>
    <w:pPr>
      <w:ind w:left="210" w:right="201"/>
    </w:pPr>
    <w:rPr>
      <w:sz w:val="21"/>
    </w:rPr>
  </w:style>
  <w:style w:type="paragraph" w:styleId="5">
    <w:name w:val="Plain Text"/>
    <w:basedOn w:val="1"/>
    <w:qFormat/>
    <w:uiPriority w:val="0"/>
    <w:rPr>
      <w:rFonts w:ascii="宋体" w:hAnsi="Courier New"/>
      <w:sz w:val="21"/>
    </w:rPr>
  </w:style>
  <w:style w:type="paragraph" w:styleId="6">
    <w:name w:val="Date"/>
    <w:basedOn w:val="1"/>
    <w:next w:val="1"/>
    <w:qFormat/>
    <w:uiPriority w:val="0"/>
    <w:rPr>
      <w:sz w:val="30"/>
    </w:rPr>
  </w:style>
  <w:style w:type="paragraph" w:styleId="7">
    <w:name w:val="Body Text Indent 2"/>
    <w:basedOn w:val="1"/>
    <w:uiPriority w:val="0"/>
    <w:pPr>
      <w:spacing w:line="360" w:lineRule="auto"/>
      <w:ind w:firstLine="600"/>
    </w:pPr>
    <w:rPr>
      <w:rFonts w:eastAsia="楷体_GB2312"/>
    </w:rPr>
  </w:style>
  <w:style w:type="paragraph" w:styleId="8">
    <w:name w:val="Balloon Text"/>
    <w:basedOn w:val="1"/>
    <w:link w:val="14"/>
    <w:uiPriority w:val="0"/>
    <w:rPr>
      <w:rFonts w:ascii="Heiti SC Light" w:eastAsia="Heiti SC Light"/>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0"/>
  </w:style>
  <w:style w:type="character" w:customStyle="1" w:styleId="14">
    <w:name w:val="批注框文本 Char"/>
    <w:link w:val="8"/>
    <w:qFormat/>
    <w:uiPriority w:val="0"/>
    <w:rPr>
      <w:rFonts w:ascii="Heiti SC Light" w:eastAsia="Heiti SC Light"/>
      <w:kern w:val="2"/>
      <w:sz w:val="18"/>
      <w:szCs w:val="18"/>
    </w:rPr>
  </w:style>
  <w:style w:type="paragraph" w:customStyle="1" w:styleId="15">
    <w:name w:val="列出段落1"/>
    <w:basedOn w:val="1"/>
    <w:qFormat/>
    <w:uiPriority w:val="34"/>
    <w:pPr>
      <w:ind w:firstLine="420" w:firstLineChars="200"/>
    </w:pPr>
  </w:style>
  <w:style w:type="paragraph" w:customStyle="1" w:styleId="16">
    <w:name w:val="a页码"/>
    <w:basedOn w:val="1"/>
    <w:uiPriority w:val="0"/>
    <w:pPr>
      <w:spacing w:line="360" w:lineRule="auto"/>
    </w:pPr>
    <w:rPr>
      <w:sz w:val="24"/>
    </w:rPr>
  </w:style>
  <w:style w:type="paragraph" w:customStyle="1" w:styleId="17">
    <w:name w:val="取消页码"/>
    <w:basedOn w:val="1"/>
    <w:uiPriority w:val="0"/>
    <w:pP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2715</Words>
  <Characters>294</Characters>
  <Lines>36</Lines>
  <Paragraphs>150</Paragraphs>
  <ScaleCrop>false</ScaleCrop>
  <LinksUpToDate>false</LinksUpToDate>
  <CharactersWithSpaces>2859</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2017-03-27T14:00:00Z</dcterms:created>
  <dc:creator>kyb</dc:creator>
  <cp:lastModifiedBy>lenovo</cp:lastModifiedBy>
  <cp:lastPrinted>2018-06-15T01:59:00Z</cp:lastPrinted>
  <dcterms:modified xsi:type="dcterms:W3CDTF">2018-06-15T04:27:31Z</dcterms:modified>
  <dc:title>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