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>
      <w:pPr>
        <w:adjustRightInd w:val="0"/>
        <w:snapToGrid w:val="0"/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2019年度新旧动能转换重大工程</w:t>
      </w:r>
    </w:p>
    <w:p>
      <w:pPr>
        <w:adjustRightInd w:val="0"/>
        <w:snapToGrid w:val="0"/>
        <w:spacing w:line="600" w:lineRule="exact"/>
        <w:jc w:val="center"/>
        <w:rPr>
          <w:rFonts w:ascii="方正小标宋_GBK" w:hAnsi="黑体" w:eastAsia="方正小标宋_GBK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重大课题攻关项目申报指南</w:t>
      </w:r>
    </w:p>
    <w:p>
      <w:pPr>
        <w:spacing w:line="60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一、申报方向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/>
          <w:color w:val="auto"/>
          <w:sz w:val="32"/>
          <w:szCs w:val="32"/>
        </w:rPr>
      </w:pPr>
      <w:r>
        <w:rPr>
          <w:rFonts w:hint="eastAsia" w:ascii="Calibri" w:hAnsi="Calibri" w:eastAsia="仿宋_GB2312"/>
          <w:color w:val="auto"/>
          <w:sz w:val="32"/>
          <w:szCs w:val="32"/>
        </w:rPr>
        <w:t>聚焦“十强”产业中的关键共性技术、前沿引领技术、现代工程技术，服务企业创新，引领产业发展。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二、申报条件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（一）申报主体为在山东省内注册、正常经营三年以上，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具有独立法人资格的企业。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（二）申报企业年科技研发经费须占企业年销售收入4%以上，且拥有10项以上发明专利成果。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所申报的重大课题项目应有一定的研发基础，项目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结题时间原则上为两年。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（四）申报人根据申报方向内容，结合自身研究优势和学术积累选题申报，课题必须注明绩效目标，即课题研究所要达到的成果或效益，绩效目标要量化具体、便于考核。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（五）项目负责人应是项目研究全过程的组织和领导者，并承担该项目的实质性研究工作，且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过去3年内在申报和承担省级和国家科技计划项目中无不良信用记录。项目申报企业及联合（参与）企业</w:t>
      </w:r>
      <w:r>
        <w:rPr>
          <w:rFonts w:hint="eastAsia" w:ascii="仿宋_GB2312" w:hAnsi="仿宋_GB2312" w:eastAsia="仿宋_GB2312"/>
          <w:sz w:val="32"/>
          <w:shd w:val="clear" w:color="000000" w:fill="FFFFFF"/>
        </w:rPr>
        <w:t>无环境、安全、知识产权和税务等方面的违法违规行为，无重大失信情况。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各级政府公务人员（包括行使科技计划管理职能的其他人员）不得申报课题。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三、申报方式和流程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（一）申报方式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“十强”产业智库专家、产业联盟（协会）、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高校、科研院所、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省产业技术研究院（筹）等创新平台，以及个人等均可单独提出或联合推荐课题，课题均需通过联合企业的方式，向省发展改革委申报。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联合申报各方须签订联合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攻关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协议，明确约定各自所承担的任务、责任和经费，并有明确的知识产权归属合同约定。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政府机关不得作为申报单位进行申报。同一课题须通过单个推荐单位单一途径推荐申报，不得多头申报和重复申报。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各类开发区重大课题计入相关县（市、区）课题之列。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（二）申报流程</w:t>
      </w:r>
    </w:p>
    <w:p>
      <w:pPr>
        <w:widowControl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1.课题申报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申报单位将有关材料（附件2、3）报各市发展改革委，各市发展改革委会同人社、科技部门审核汇总后报省发展改革委；省管企业经省国资委审核同意（其他省属企业经省主管部门审核同意）后，向省发展改革委申报。</w:t>
      </w:r>
    </w:p>
    <w:p>
      <w:pPr>
        <w:widowControl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2.分类初审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重大课题汇总后，由省发展改革委按“十强”产业类别分送各专班，各专班依据新旧动能转换重大工程实施规划和各产业专项规划要求，按照国家产业指导目录进行细化分类，对课题要件进行审核和筛选，提出本产业初审意见，并以正式文件报省发展改革委，每个产业提报课题数不超过6个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四、课题审核与下达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（一）查重审核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。由省财政厅对通过初审的课题项目进行审查，已在规定年限内获得过省级同类财政资金支持的，不予重复支持。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（二）组织评审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。省发展改革委会同省人力资源社会保障厅、省科技厅委托第三方机构组织会议评审，并由省发展改革委组织对评审通过的项目进行尽职调查，确定最终评审结果。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（三）下达拨付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根据最终评审结果，省发展改革委研究提出拟支持的重大课题名单和支持额度，报省新旧动能转换重大工程建设领导小组审定后进行公示。公示期满后，省发展改革委下达课题计划，省财政厅下达课题预算指标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资金分期拨付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。课题计划下达同时拨付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0%，结题验收通过后拨付另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0%。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五、监督管理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关于开展新旧动能转换重大工程重大课题攻关的实施办法（试行）》要求，省发展改革委、省财政厅、省人力资源社会保障厅、省科技厅等跟踪了解项目进展情况，加强监督检查和财务审计；对截留、挪用、挤占专项资金等弄虚作假行为严肃处理，追究责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A2F8D"/>
    <w:rsid w:val="35EA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2019-03-29T08:44:00Z</dcterms:created>
  <dc:creator>WPS_1527915209</dc:creator>
  <cp:lastModifiedBy>WPS_1527915209</cp:lastModifiedBy>
  <dcterms:modified xsi:type="dcterms:W3CDTF">2019-03-29T08:45:27Z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